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16" w:rsidRPr="00E1144A" w:rsidRDefault="00CD6A16" w:rsidP="003E39E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</w:rPr>
        <w:t>АДМИНИСТРАЦИЯ  МЕДЯНСКОГО СЕЛЬСКОГО ПОСЕЛЕНИЯ</w:t>
      </w:r>
    </w:p>
    <w:p w:rsidR="00CD6A16" w:rsidRPr="00E1144A" w:rsidRDefault="00CD6A16" w:rsidP="003E39EB">
      <w:pPr>
        <w:pStyle w:val="ConsPlusTitle"/>
        <w:widowControl/>
        <w:spacing w:after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144A">
        <w:rPr>
          <w:rFonts w:ascii="Times New Roman" w:hAnsi="Times New Roman" w:cs="Times New Roman"/>
          <w:sz w:val="28"/>
          <w:szCs w:val="28"/>
        </w:rPr>
        <w:t>ЮРЬЯНСКОГО РАЙОНА КИРОВСКОЙ ОБЛАСТИ</w:t>
      </w:r>
    </w:p>
    <w:p w:rsidR="00CD6A16" w:rsidRPr="001436B4" w:rsidRDefault="00CD6A16" w:rsidP="003E39EB">
      <w:pPr>
        <w:pStyle w:val="ConsPlusTitle"/>
        <w:widowControl/>
        <w:spacing w:before="360" w:after="360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1436B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D6A16" w:rsidRPr="00843C7A" w:rsidRDefault="0035233A" w:rsidP="003E39E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16.06.2016</w:t>
      </w:r>
      <w:bookmarkStart w:id="0" w:name="_GoBack"/>
      <w:bookmarkEnd w:id="0"/>
      <w:r w:rsidR="00CD6A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CD6A16" w:rsidRPr="00843C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62</w:t>
      </w:r>
    </w:p>
    <w:p w:rsidR="00CD6A16" w:rsidRPr="001436B4" w:rsidRDefault="00CD6A16" w:rsidP="003E39EB">
      <w:pPr>
        <w:pStyle w:val="ConsPlusTitle"/>
        <w:widowControl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36B4">
        <w:rPr>
          <w:rFonts w:ascii="Times New Roman" w:hAnsi="Times New Roman" w:cs="Times New Roman"/>
          <w:b w:val="0"/>
          <w:bCs w:val="0"/>
          <w:sz w:val="28"/>
          <w:szCs w:val="28"/>
        </w:rPr>
        <w:t>с. Медяны</w:t>
      </w:r>
    </w:p>
    <w:p w:rsidR="00CD6A16" w:rsidRPr="00826731" w:rsidRDefault="00CD6A16" w:rsidP="00E548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67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«Комплексное развитие систем транспортной инфраструктуры и дорожного хозяйства на территории муниципального образования </w:t>
      </w:r>
      <w:proofErr w:type="spellStart"/>
      <w:r w:rsidRPr="008267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Медянское</w:t>
      </w:r>
      <w:proofErr w:type="spellEnd"/>
      <w:r w:rsidRPr="008267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на 2016-2026 годы»</w:t>
      </w:r>
    </w:p>
    <w:p w:rsidR="00CD6A16" w:rsidRPr="00826731" w:rsidRDefault="00CD6A16" w:rsidP="005A58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82673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округов», 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 Администрация Медянского сельского поселения </w:t>
      </w:r>
      <w:r w:rsidRPr="00AF2434"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Pr="008267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CD6A16" w:rsidRPr="001436B4" w:rsidRDefault="00CD6A16" w:rsidP="005A58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B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Pr="002817C3">
        <w:rPr>
          <w:rFonts w:ascii="Times New Roman" w:hAnsi="Times New Roman" w:cs="Times New Roman"/>
          <w:sz w:val="28"/>
          <w:szCs w:val="28"/>
        </w:rPr>
        <w:t xml:space="preserve">Комплексное развитие систем транспортной инфраструктуры и дорожного хозяйства на территории муниципального образования </w:t>
      </w:r>
      <w:proofErr w:type="spellStart"/>
      <w:r w:rsidRPr="002817C3">
        <w:rPr>
          <w:rFonts w:ascii="Times New Roman" w:hAnsi="Times New Roman" w:cs="Times New Roman"/>
          <w:sz w:val="28"/>
          <w:szCs w:val="28"/>
        </w:rPr>
        <w:t>Медянское</w:t>
      </w:r>
      <w:proofErr w:type="spellEnd"/>
      <w:r w:rsidRPr="002817C3">
        <w:rPr>
          <w:rFonts w:ascii="Times New Roman" w:hAnsi="Times New Roman" w:cs="Times New Roman"/>
          <w:sz w:val="28"/>
          <w:szCs w:val="28"/>
        </w:rPr>
        <w:t xml:space="preserve"> сельское поселение на 2016-2026 годы</w:t>
      </w:r>
      <w:r>
        <w:rPr>
          <w:rFonts w:ascii="Times New Roman" w:hAnsi="Times New Roman" w:cs="Times New Roman"/>
          <w:sz w:val="28"/>
          <w:szCs w:val="28"/>
        </w:rPr>
        <w:t>». Прилагается.</w:t>
      </w:r>
    </w:p>
    <w:p w:rsidR="00CD6A16" w:rsidRDefault="00CD6A16" w:rsidP="005A5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EC9">
        <w:rPr>
          <w:rFonts w:ascii="Times New Roman" w:hAnsi="Times New Roman" w:cs="Times New Roman"/>
          <w:sz w:val="28"/>
          <w:szCs w:val="28"/>
        </w:rPr>
        <w:t>2. Ответственность за организацию и проведение мероприятий возложить на администрацию Медянского сельского поселения (</w:t>
      </w:r>
      <w:r>
        <w:rPr>
          <w:rFonts w:ascii="Times New Roman" w:hAnsi="Times New Roman" w:cs="Times New Roman"/>
          <w:sz w:val="28"/>
          <w:szCs w:val="28"/>
        </w:rPr>
        <w:t>Овечкин В.И.).</w:t>
      </w:r>
    </w:p>
    <w:p w:rsidR="00CD6A16" w:rsidRDefault="00CD6A16" w:rsidP="005A5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134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A16" w:rsidRPr="00EB6EC9" w:rsidRDefault="00CD6A16" w:rsidP="005A586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6E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B6E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6EC9">
        <w:rPr>
          <w:rFonts w:ascii="Times New Roman" w:hAnsi="Times New Roman" w:cs="Times New Roman"/>
          <w:sz w:val="28"/>
          <w:szCs w:val="28"/>
        </w:rPr>
        <w:t xml:space="preserve"> выполнением постановлением возложить на главу </w:t>
      </w:r>
      <w:r>
        <w:rPr>
          <w:rFonts w:ascii="Times New Roman" w:hAnsi="Times New Roman" w:cs="Times New Roman"/>
          <w:sz w:val="28"/>
          <w:szCs w:val="28"/>
        </w:rPr>
        <w:t>Медянского сельского поселения.</w:t>
      </w:r>
    </w:p>
    <w:p w:rsidR="00CD6A16" w:rsidRPr="00EB6EC9" w:rsidRDefault="00CD6A16" w:rsidP="002817C3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B6EC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6EC9">
        <w:rPr>
          <w:rFonts w:ascii="Times New Roman" w:hAnsi="Times New Roman" w:cs="Times New Roman"/>
          <w:sz w:val="28"/>
          <w:szCs w:val="28"/>
        </w:rPr>
        <w:t xml:space="preserve"> Медянского</w:t>
      </w:r>
    </w:p>
    <w:p w:rsidR="00CD6A16" w:rsidRDefault="00CD6A16" w:rsidP="002817C3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В.И. Овечкин</w:t>
      </w:r>
    </w:p>
    <w:p w:rsidR="00CD6A16" w:rsidRDefault="00CD6A16" w:rsidP="002817C3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D6A16" w:rsidRPr="00EB6EC9" w:rsidRDefault="00CD6A16" w:rsidP="009E4997">
      <w:pPr>
        <w:pStyle w:val="ConsPlusNormal"/>
        <w:widowControl/>
        <w:spacing w:before="360" w:after="48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EC9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CD6A16" w:rsidRPr="00EB6EC9" w:rsidRDefault="00CD6A16" w:rsidP="009E4997">
      <w:pPr>
        <w:spacing w:after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br/>
        <w:t>Медянского сельского поселения</w:t>
      </w:r>
      <w:r w:rsidRPr="00EB6E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Д.К. Брагина</w:t>
      </w:r>
    </w:p>
    <w:p w:rsidR="00CD6A16" w:rsidRPr="00EB6EC9" w:rsidRDefault="00CD6A16" w:rsidP="009E4997">
      <w:pPr>
        <w:spacing w:after="480"/>
        <w:rPr>
          <w:rFonts w:ascii="Times New Roman" w:hAnsi="Times New Roman" w:cs="Times New Roman"/>
          <w:b/>
          <w:bCs/>
        </w:rPr>
      </w:pPr>
      <w:r w:rsidRPr="00EB6EC9">
        <w:rPr>
          <w:rFonts w:ascii="Times New Roman" w:hAnsi="Times New Roman" w:cs="Times New Roman"/>
          <w:sz w:val="28"/>
          <w:szCs w:val="28"/>
        </w:rPr>
        <w:t>Разослать: администрация -1, прокуратура-1.</w:t>
      </w: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color w:val="4A5562"/>
          <w:sz w:val="20"/>
          <w:szCs w:val="20"/>
          <w:lang w:eastAsia="ru-RU"/>
        </w:rPr>
      </w:pPr>
    </w:p>
    <w:p w:rsidR="00CD6A16" w:rsidRPr="00E06425" w:rsidRDefault="00CD6A16" w:rsidP="00E548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064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>Приложение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br/>
        <w:t>к постановлению администрации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Медянского сельского 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16.06.2016 № 62</w:t>
      </w: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64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64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«Комплексное развитие систем транспортной инфраструктуры и дорожного хозяйства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Медянское</w:t>
      </w:r>
      <w:proofErr w:type="spellEnd"/>
      <w:r w:rsidRPr="00E064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на 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6-2026</w:t>
      </w:r>
      <w:r w:rsidRPr="00E064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064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CD6A16" w:rsidRPr="00E06425" w:rsidRDefault="00CD6A16" w:rsidP="00E548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64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64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«Комплексное развитие систем транспортной инфраструктуры и дорожного хозяйства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Медянское</w:t>
      </w:r>
      <w:proofErr w:type="spellEnd"/>
      <w:r w:rsidRPr="00E064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на 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6-2026</w:t>
      </w:r>
      <w:r w:rsidRPr="00E064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064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949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420"/>
        <w:gridCol w:w="7075"/>
      </w:tblGrid>
      <w:tr w:rsidR="00CD6A16" w:rsidRPr="00E06425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Медянское</w:t>
            </w:r>
            <w:proofErr w:type="spellEnd"/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на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6-2026</w:t>
            </w: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(далее – Программа)</w:t>
            </w:r>
          </w:p>
        </w:tc>
      </w:tr>
      <w:tr w:rsidR="00CD6A16" w:rsidRPr="00E06425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постановление </w:t>
            </w:r>
            <w:r w:rsidRPr="00F20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Правительства РФ от 25.12.2015 № 1440 «Об утверждении требований к программам комплексного развития транспортной инфраструктур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поселений, городских округов»</w:t>
            </w:r>
          </w:p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закон</w:t>
            </w:r>
            <w:r w:rsidRPr="00F20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29.12.2014 № 456-ФЗ «О внесении изменений в Градостроительный кодекс Российской Федерации и отдельные законодател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ьные акты Российской Федерации»</w:t>
            </w:r>
          </w:p>
          <w:p w:rsidR="00CD6A16" w:rsidRPr="00F207AA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закон</w:t>
            </w:r>
            <w:r w:rsidRPr="00F20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</w:tr>
      <w:tr w:rsidR="00CD6A16" w:rsidRPr="00E06425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Медянского</w:t>
            </w: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CD6A16" w:rsidRPr="00E06425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Медянского</w:t>
            </w: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 поселения</w:t>
            </w:r>
          </w:p>
        </w:tc>
      </w:tr>
      <w:tr w:rsidR="00CD6A16" w:rsidRPr="00E06425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изацией Программы осуществляет а</w:t>
            </w: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Медянского</w:t>
            </w: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CD6A16" w:rsidRPr="00E06425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Повышение комфортности и безопасности жизнедеятельности населения и хозяйствующих субъектов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Медянского</w:t>
            </w: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D6A16" w:rsidRPr="00E06425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Повышение надежности системы транспортной  инфраструктуры.</w:t>
            </w:r>
          </w:p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Обеспечение более комфортных условий проживания населения </w:t>
            </w: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поселения, безопасности дорожного движения.</w:t>
            </w:r>
          </w:p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A16" w:rsidRPr="00E06425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6-2026</w:t>
            </w: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CD6A16" w:rsidRPr="00E06425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финансирования:</w:t>
            </w:r>
          </w:p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средства местного бюджета.</w:t>
            </w:r>
          </w:p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ассигнования, предусмотренные в плановом периоде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6-2026 годов</w:t>
            </w: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будут уточнены при формировании проектов бюджета поселения с учетом  изменения ассигнований из областного бюджета.</w:t>
            </w:r>
          </w:p>
        </w:tc>
      </w:tr>
      <w:tr w:rsidR="00CD6A16" w:rsidRPr="00E06425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программы</w:t>
            </w:r>
          </w:p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разработка проектно-сметной документации;</w:t>
            </w:r>
          </w:p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приобретение материалов и ремонт дорог;</w:t>
            </w:r>
          </w:p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мероприятия по организации дорожного движения;</w:t>
            </w:r>
          </w:p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строительство пешеходных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дорожек;</w:t>
            </w:r>
          </w:p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паспортизация дорог</w:t>
            </w: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D6A16" w:rsidRPr="00E475EA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75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Содержание проблемы и обоснование ее решения программными методами:</w:t>
      </w:r>
    </w:p>
    <w:p w:rsidR="00CD6A16" w:rsidRDefault="00CD6A16" w:rsidP="00D00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642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Одним из основополагающих условий развития поселения является комплексное развитие систем жизнеобеспечения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Медянского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br/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демографическое 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>развитие;</w:t>
      </w:r>
    </w:p>
    <w:p w:rsidR="00CD6A16" w:rsidRDefault="00CD6A16" w:rsidP="00D00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6425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перспективное 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>строительство;</w:t>
      </w:r>
    </w:p>
    <w:p w:rsidR="00CD6A16" w:rsidRDefault="00CD6A16" w:rsidP="00D00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6425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>состоя</w:t>
      </w:r>
      <w:r>
        <w:rPr>
          <w:rFonts w:ascii="Times New Roman" w:hAnsi="Times New Roman" w:cs="Times New Roman"/>
          <w:sz w:val="24"/>
          <w:szCs w:val="24"/>
          <w:lang w:eastAsia="ru-RU"/>
        </w:rPr>
        <w:t>ние транспортной инфраструктуры.</w:t>
      </w:r>
    </w:p>
    <w:p w:rsidR="00CD6A16" w:rsidRDefault="00CD6A16" w:rsidP="00D00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6425">
        <w:rPr>
          <w:rFonts w:ascii="Times New Roman" w:hAnsi="Times New Roman" w:cs="Times New Roman"/>
          <w:sz w:val="24"/>
          <w:szCs w:val="24"/>
          <w:lang w:eastAsia="ru-RU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CD6A16" w:rsidRDefault="00CD6A16" w:rsidP="00D00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6425">
        <w:rPr>
          <w:rFonts w:ascii="Times New Roman" w:hAnsi="Times New Roman" w:cs="Times New Roman"/>
          <w:sz w:val="24"/>
          <w:szCs w:val="24"/>
          <w:lang w:eastAsia="ru-RU"/>
        </w:rPr>
        <w:br/>
        <w:t>1.1. Демографическое развитие муниципального образования</w:t>
      </w:r>
    </w:p>
    <w:p w:rsidR="00CD6A16" w:rsidRDefault="00CD6A16" w:rsidP="00D00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Медянское</w:t>
      </w:r>
      <w:proofErr w:type="spellEnd"/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 расположено в </w:t>
      </w:r>
      <w:r>
        <w:rPr>
          <w:rFonts w:ascii="Times New Roman" w:hAnsi="Times New Roman" w:cs="Times New Roman"/>
          <w:sz w:val="24"/>
          <w:szCs w:val="24"/>
          <w:lang w:eastAsia="ru-RU"/>
        </w:rPr>
        <w:t>южной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части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Юрьянского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в 37 км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т областного центра (г. Киров), в 45 км. от районного центра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Юрья)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Медянское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 граничит с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Мурыгинским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городским поселением,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Загарским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сельским поселением, по реке Великая граница проходит с Орловским районом. 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Административный центр </w:t>
      </w:r>
      <w:r>
        <w:rPr>
          <w:rFonts w:ascii="Times New Roman" w:hAnsi="Times New Roman" w:cs="Times New Roman"/>
          <w:sz w:val="24"/>
          <w:szCs w:val="24"/>
          <w:lang w:eastAsia="ru-RU"/>
        </w:rPr>
        <w:t>Медянского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– село </w:t>
      </w:r>
      <w:r>
        <w:rPr>
          <w:rFonts w:ascii="Times New Roman" w:hAnsi="Times New Roman" w:cs="Times New Roman"/>
          <w:sz w:val="24"/>
          <w:szCs w:val="24"/>
          <w:lang w:eastAsia="ru-RU"/>
        </w:rPr>
        <w:t>Медяны.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Застройка поселения представлена различными по этажности домовладениями, имеются многоквартирные дома, здания производственного, социального назначения, торговой сферы и другие. </w:t>
      </w:r>
      <w:proofErr w:type="gramStart"/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В состав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Медянского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ия входят 27 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>населенных пункта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(деревня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Бакичи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деревня Большое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Чураково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деревня Боярки, деревня Брюханы, деревня Васенины, деревня Демидовы, деревня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Домраченки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Запольцы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деревня Зоновы, деревня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Колышманы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Кузнецовщина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деревня Лаптевы, деревня Лени, деревня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Макаренки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деревня Малое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Чураково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село Медяны, деревня Никольская ГЭС, деревня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Ольковы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Сидоровщина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Сомовщина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деревня Сорокины, деревня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Спащина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Стеничи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деревня Устиновичи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деревня Устье, деревня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Храмушины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Шибаны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>, с общей численностью населения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>651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  <w:lang w:eastAsia="ru-RU"/>
        </w:rPr>
        <w:t>, в том числе население села Медяны – 531 человек.</w:t>
      </w:r>
    </w:p>
    <w:p w:rsidR="00CD6A16" w:rsidRPr="00E06425" w:rsidRDefault="00CD6A16" w:rsidP="00D00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Общая площадь земель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-20141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га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Общая протяженность дорог местного значения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8,64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км. 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Медянского сельского поселения 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>характеризуется следующими показателями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(на первое января текущего года):</w:t>
      </w:r>
    </w:p>
    <w:tbl>
      <w:tblPr>
        <w:tblW w:w="876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132"/>
        <w:gridCol w:w="1335"/>
        <w:gridCol w:w="1335"/>
        <w:gridCol w:w="1958"/>
      </w:tblGrid>
      <w:tr w:rsidR="00CD6A16" w:rsidRPr="00E06425">
        <w:trPr>
          <w:tblCellSpacing w:w="15" w:type="dxa"/>
          <w:jc w:val="center"/>
        </w:trPr>
        <w:tc>
          <w:tcPr>
            <w:tcW w:w="23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CD6A16" w:rsidRPr="00E0642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A16" w:rsidRPr="00E06425" w:rsidRDefault="00CD6A16" w:rsidP="00E5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D6A16" w:rsidRPr="00E06425">
        <w:trPr>
          <w:tblCellSpacing w:w="15" w:type="dxa"/>
          <w:jc w:val="center"/>
        </w:trPr>
        <w:tc>
          <w:tcPr>
            <w:tcW w:w="2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населения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учетом зарегистрированных по месту пребывания</w:t>
            </w: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человек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</w:tr>
    </w:tbl>
    <w:p w:rsidR="00CD6A16" w:rsidRPr="00E06425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6425">
        <w:rPr>
          <w:rFonts w:ascii="Times New Roman" w:hAnsi="Times New Roman" w:cs="Times New Roman"/>
          <w:sz w:val="24"/>
          <w:szCs w:val="24"/>
          <w:lang w:eastAsia="ru-RU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CD6A16" w:rsidRPr="00E475EA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75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Основные цели и задачи, сроки и этапы реализации Программы</w:t>
      </w: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целью Программы является создание условий для приведения объектов и сетей инженерно-коммунальной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Медянского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br/>
        <w:t>Программа направлена на снижение уровня износа объектов коммунальной инфраструктуры, повышение качества предоставляемых коммунальных услуг, улучшение экологической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>ситуации.</w:t>
      </w: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6425">
        <w:rPr>
          <w:rFonts w:ascii="Times New Roman" w:hAnsi="Times New Roman" w:cs="Times New Roman"/>
          <w:sz w:val="24"/>
          <w:szCs w:val="24"/>
          <w:lang w:eastAsia="ru-RU"/>
        </w:rPr>
        <w:br/>
        <w:t>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6425">
        <w:rPr>
          <w:rFonts w:ascii="Times New Roman" w:hAnsi="Times New Roman" w:cs="Times New Roman"/>
          <w:sz w:val="24"/>
          <w:szCs w:val="24"/>
          <w:lang w:eastAsia="ru-RU"/>
        </w:rPr>
        <w:br/>
        <w:t>Основные задачи Программы:</w:t>
      </w: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64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модернизация, ремонт, реконструкция, строительство объектов благоу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стройства и дорожного хозяйства.</w:t>
      </w:r>
    </w:p>
    <w:p w:rsidR="00CD6A16" w:rsidRPr="00E06425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6425">
        <w:rPr>
          <w:rFonts w:ascii="Times New Roman" w:hAnsi="Times New Roman" w:cs="Times New Roman"/>
          <w:sz w:val="24"/>
          <w:szCs w:val="24"/>
          <w:lang w:eastAsia="ru-RU"/>
        </w:rPr>
        <w:br/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6425">
        <w:rPr>
          <w:rFonts w:ascii="Times New Roman" w:hAnsi="Times New Roman" w:cs="Times New Roman"/>
          <w:sz w:val="24"/>
          <w:szCs w:val="24"/>
          <w:lang w:eastAsia="ru-RU"/>
        </w:rPr>
        <w:t>Сроки и этапы реализации программы.</w:t>
      </w:r>
    </w:p>
    <w:p w:rsidR="00CD6A16" w:rsidRPr="00E06425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Срок действия программы 2016-2026 годы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>. Реализация программы будет осуществляться весь период.</w:t>
      </w:r>
    </w:p>
    <w:p w:rsidR="00CD6A16" w:rsidRPr="006C40D7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C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Мероприятия по развитию системы транспортной инфраструктуры и дорожного хозяйства, целевые индикаторы</w:t>
      </w:r>
    </w:p>
    <w:p w:rsidR="00CD6A16" w:rsidRPr="00E06425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6425">
        <w:rPr>
          <w:rFonts w:ascii="Times New Roman" w:hAnsi="Times New Roman" w:cs="Times New Roman"/>
          <w:sz w:val="24"/>
          <w:szCs w:val="24"/>
          <w:lang w:eastAsia="ru-RU"/>
        </w:rPr>
        <w:t>3.1. Общие положения</w:t>
      </w:r>
    </w:p>
    <w:p w:rsidR="00CD6A16" w:rsidRDefault="00CD6A16" w:rsidP="00E078E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>1. Основными факторами, определяющими направления разработки Программы, являются: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>- состояние существующей системы транспортной инфраструктуры;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перспективное строительство малоэтажных домов, направленное на улучшение жилищных условий граждан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>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</w:t>
      </w: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>3. Разработанные программные мероприятия систематизированы по степени их актуальности.</w:t>
      </w: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>4. Список мероприятий на конкретном объекте детализируется после разработки проектно-сметной документации.</w:t>
      </w: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>5. Стоимость мероприятий определена ориентировочно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основываясь на стоимости уже проведенных аналогичных мероприятий.</w:t>
      </w:r>
    </w:p>
    <w:p w:rsidR="00CD6A16" w:rsidRPr="00E06425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6. Источниками финансирования мероприятий Программы являются бюджет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Медянского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а также внебюджетные источники. Объемы финансирования мероприятий из регионального бюджета определяются после принятия областных программ и подлежат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>Перечень программных мероприятий привед</w:t>
      </w:r>
      <w:r>
        <w:rPr>
          <w:rFonts w:ascii="Times New Roman" w:hAnsi="Times New Roman" w:cs="Times New Roman"/>
          <w:sz w:val="24"/>
          <w:szCs w:val="24"/>
          <w:lang w:eastAsia="ru-RU"/>
        </w:rPr>
        <w:t>ен в приложении № 1 к Программе).</w:t>
      </w: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64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3.2. Система дорожной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>Основные целевые индикаторы реализации мероприятий Программы:</w:t>
      </w: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3.2.1. 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>Содержание дорог в требуемом техническом состоянии;</w:t>
      </w: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3.2.2. 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>Обеспечение безопасности дорожного движения.</w:t>
      </w:r>
    </w:p>
    <w:p w:rsidR="00CD6A16" w:rsidRPr="006C40D7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C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Механизм реализации Программы и </w:t>
      </w:r>
      <w:proofErr w:type="gramStart"/>
      <w:r w:rsidRPr="006C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6C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ходом ее выполнения</w:t>
      </w: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6425">
        <w:rPr>
          <w:rFonts w:ascii="Times New Roman" w:hAnsi="Times New Roman" w:cs="Times New Roman"/>
          <w:sz w:val="24"/>
          <w:szCs w:val="24"/>
          <w:lang w:eastAsia="ru-RU"/>
        </w:rPr>
        <w:br/>
        <w:t>Реали</w:t>
      </w:r>
      <w:r>
        <w:rPr>
          <w:rFonts w:ascii="Times New Roman" w:hAnsi="Times New Roman" w:cs="Times New Roman"/>
          <w:sz w:val="24"/>
          <w:szCs w:val="24"/>
          <w:lang w:eastAsia="ru-RU"/>
        </w:rPr>
        <w:t>зация Программы осуществляется а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Медянского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 Для решения задач Программы предполагается использовать средства местного бюджета, собственные средства хозяйствующих субъектов. 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рамках реализации данной Программы в соответствии со стратегическими приоритетами развития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Медянского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Исполнителями Программы являются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Медянского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и организации коммунального комплекса.</w:t>
      </w: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06425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реал</w:t>
      </w:r>
      <w:r>
        <w:rPr>
          <w:rFonts w:ascii="Times New Roman" w:hAnsi="Times New Roman" w:cs="Times New Roman"/>
          <w:sz w:val="24"/>
          <w:szCs w:val="24"/>
          <w:lang w:eastAsia="ru-RU"/>
        </w:rPr>
        <w:t>изацией Программы осуществляет а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Медянского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br/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CD6A16" w:rsidRPr="00E078E9" w:rsidRDefault="00CD6A16" w:rsidP="00E54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78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Оценка эффективности реализации Программы</w:t>
      </w:r>
    </w:p>
    <w:p w:rsidR="00CD6A16" w:rsidRPr="00E06425" w:rsidRDefault="00CD6A16" w:rsidP="00E078E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06425">
        <w:rPr>
          <w:rFonts w:ascii="Times New Roman" w:hAnsi="Times New Roman" w:cs="Times New Roman"/>
          <w:sz w:val="24"/>
          <w:szCs w:val="24"/>
          <w:lang w:eastAsia="ru-RU"/>
        </w:rPr>
        <w:t>Основными результатами реализации мероприятий являются: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br/>
        <w:t>- модернизация и обновление инженерно-коммунальной, транспортной инфраструктуры поселения; 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br/>
        <w:t>- снижение затрат предприятий ЖКХ; 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br/>
        <w:t>- устранение причин возникновения аварийных ситуаций, угрожающих жизнедеятельности человека;</w:t>
      </w:r>
      <w:r w:rsidRPr="00E06425">
        <w:rPr>
          <w:rFonts w:ascii="Times New Roman" w:hAnsi="Times New Roman" w:cs="Times New Roman"/>
          <w:sz w:val="24"/>
          <w:szCs w:val="24"/>
          <w:lang w:eastAsia="ru-RU"/>
        </w:rPr>
        <w:br/>
        <w:t>- повышение комфортности и безопасности жизнедеятельности населения.</w:t>
      </w: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6A16" w:rsidRDefault="00CD6A16" w:rsidP="00E5482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6A16" w:rsidRDefault="00CD6A16" w:rsidP="00C81DA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CD6A16" w:rsidSect="001E23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6A16" w:rsidRDefault="00CD6A16" w:rsidP="00C81DA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064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proofErr w:type="gramStart"/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E06425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ПРОГРАММЕ. </w:t>
      </w:r>
    </w:p>
    <w:p w:rsidR="00CD6A16" w:rsidRPr="00E06425" w:rsidRDefault="00CD6A16" w:rsidP="00C81D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6425">
        <w:rPr>
          <w:rFonts w:ascii="Times New Roman" w:hAnsi="Times New Roman" w:cs="Times New Roman"/>
          <w:sz w:val="24"/>
          <w:szCs w:val="24"/>
          <w:lang w:eastAsia="ru-RU"/>
        </w:rPr>
        <w:t>ПЕРЕЧЕНЬ ПРОГРАММНЫХ МЕРОПРИЯТИЙ</w:t>
      </w:r>
    </w:p>
    <w:tbl>
      <w:tblPr>
        <w:tblW w:w="14100" w:type="dxa"/>
        <w:tblCellSpacing w:w="15" w:type="dxa"/>
        <w:tblInd w:w="-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19"/>
        <w:gridCol w:w="2185"/>
        <w:gridCol w:w="38"/>
        <w:gridCol w:w="2191"/>
        <w:gridCol w:w="1890"/>
        <w:gridCol w:w="660"/>
        <w:gridCol w:w="660"/>
        <w:gridCol w:w="660"/>
        <w:gridCol w:w="660"/>
        <w:gridCol w:w="660"/>
        <w:gridCol w:w="660"/>
        <w:gridCol w:w="660"/>
        <w:gridCol w:w="35"/>
        <w:gridCol w:w="625"/>
        <w:gridCol w:w="35"/>
        <w:gridCol w:w="561"/>
        <w:gridCol w:w="64"/>
        <w:gridCol w:w="660"/>
        <w:gridCol w:w="35"/>
        <w:gridCol w:w="642"/>
      </w:tblGrid>
      <w:tr w:rsidR="00CD6A16" w:rsidRPr="00E06425" w:rsidTr="00A2336A">
        <w:trPr>
          <w:tblHeader/>
          <w:tblCellSpacing w:w="15" w:type="dxa"/>
        </w:trPr>
        <w:tc>
          <w:tcPr>
            <w:tcW w:w="47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реализации мероприятий</w:t>
            </w:r>
          </w:p>
        </w:tc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A16" w:rsidRPr="00E06425" w:rsidTr="00A2336A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CD6A16" w:rsidRPr="00E06425" w:rsidTr="00A2336A">
        <w:trPr>
          <w:tblCellSpacing w:w="15" w:type="dxa"/>
        </w:trPr>
        <w:tc>
          <w:tcPr>
            <w:tcW w:w="47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материалов, ремонт дорог,</w:t>
            </w:r>
          </w:p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транспортной инфраструктуры,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A16" w:rsidRPr="00E06425" w:rsidTr="00A233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D6A16" w:rsidRPr="00E06425" w:rsidTr="00A2336A">
        <w:trPr>
          <w:tblCellSpacing w:w="15" w:type="dxa"/>
        </w:trPr>
        <w:tc>
          <w:tcPr>
            <w:tcW w:w="47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21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исходной документации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A16" w:rsidRPr="00E06425" w:rsidTr="00A233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D6A16" w:rsidRPr="00E06425" w:rsidTr="00A2336A">
        <w:trPr>
          <w:tblCellSpacing w:w="15" w:type="dxa"/>
        </w:trPr>
        <w:tc>
          <w:tcPr>
            <w:tcW w:w="47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ечение безопасности, организация</w:t>
            </w: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дорожного движения</w:t>
            </w:r>
          </w:p>
        </w:tc>
        <w:tc>
          <w:tcPr>
            <w:tcW w:w="21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A16" w:rsidRPr="00E06425" w:rsidTr="00A2336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D6A16" w:rsidRPr="00E06425" w:rsidTr="00A2336A">
        <w:trPr>
          <w:trHeight w:val="278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Паспортизация дорог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исходной документации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gridSpan w:val="2"/>
            <w:tcBorders>
              <w:top w:val="outset" w:sz="6" w:space="0" w:color="auto"/>
              <w:left w:val="outset" w:sz="6" w:space="0" w:color="auto"/>
            </w:tcBorders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A16" w:rsidRPr="00E06425" w:rsidTr="00A2336A">
        <w:trPr>
          <w:trHeight w:val="277"/>
          <w:tblCellSpacing w:w="15" w:type="dxa"/>
        </w:trPr>
        <w:tc>
          <w:tcPr>
            <w:tcW w:w="0" w:type="auto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Default="00CD6A16" w:rsidP="00E5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Default="00CD6A16" w:rsidP="00E5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6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gridSpan w:val="2"/>
            <w:tcBorders>
              <w:left w:val="outset" w:sz="6" w:space="0" w:color="auto"/>
              <w:bottom w:val="outset" w:sz="6" w:space="0" w:color="auto"/>
            </w:tcBorders>
          </w:tcPr>
          <w:p w:rsidR="00CD6A16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D6A16" w:rsidRPr="00E06425" w:rsidTr="00A2336A">
        <w:trPr>
          <w:trHeight w:val="555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ечение безопасности,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пешеходных дорожек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безопасности </w:t>
            </w: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gridSpan w:val="2"/>
            <w:tcBorders>
              <w:top w:val="outset" w:sz="6" w:space="0" w:color="auto"/>
              <w:left w:val="outset" w:sz="6" w:space="0" w:color="auto"/>
            </w:tcBorders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A16" w:rsidRPr="00E06425" w:rsidTr="00A2336A">
        <w:trPr>
          <w:trHeight w:val="555"/>
          <w:tblCellSpacing w:w="15" w:type="dxa"/>
        </w:trPr>
        <w:tc>
          <w:tcPr>
            <w:tcW w:w="0" w:type="auto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Default="00CD6A16" w:rsidP="00E5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6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7" w:type="dxa"/>
            <w:gridSpan w:val="2"/>
            <w:tcBorders>
              <w:left w:val="outset" w:sz="6" w:space="0" w:color="auto"/>
              <w:bottom w:val="outset" w:sz="6" w:space="0" w:color="auto"/>
            </w:tcBorders>
          </w:tcPr>
          <w:p w:rsidR="00CD6A16" w:rsidRDefault="00CD6A16" w:rsidP="006010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D6A16" w:rsidRPr="00E06425" w:rsidTr="00A2336A">
        <w:trPr>
          <w:tblCellSpacing w:w="15" w:type="dxa"/>
        </w:trPr>
        <w:tc>
          <w:tcPr>
            <w:tcW w:w="4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6A16" w:rsidRPr="00E06425" w:rsidTr="00A2336A">
        <w:trPr>
          <w:tblCellSpacing w:w="15" w:type="dxa"/>
        </w:trPr>
        <w:tc>
          <w:tcPr>
            <w:tcW w:w="4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D6A16" w:rsidRPr="00E06425" w:rsidTr="00A2336A">
        <w:trPr>
          <w:tblCellSpacing w:w="15" w:type="dxa"/>
        </w:trPr>
        <w:tc>
          <w:tcPr>
            <w:tcW w:w="4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Pr="00E06425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D6A16" w:rsidRDefault="00CD6A16" w:rsidP="00E548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D6A16" w:rsidRDefault="00CD6A16">
      <w:pPr>
        <w:rPr>
          <w:rFonts w:ascii="Times New Roman" w:hAnsi="Times New Roman" w:cs="Times New Roman"/>
          <w:sz w:val="24"/>
          <w:szCs w:val="24"/>
        </w:rPr>
        <w:sectPr w:rsidR="00CD6A16" w:rsidSect="009B717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D6A16" w:rsidRPr="00E06425" w:rsidRDefault="00CD6A16" w:rsidP="00A2336A"/>
    <w:sectPr w:rsidR="00CD6A16" w:rsidRPr="00E06425" w:rsidSect="001E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828"/>
    <w:rsid w:val="000015BA"/>
    <w:rsid w:val="000033EE"/>
    <w:rsid w:val="00006675"/>
    <w:rsid w:val="00062883"/>
    <w:rsid w:val="00066EBC"/>
    <w:rsid w:val="000A6D16"/>
    <w:rsid w:val="000E0085"/>
    <w:rsid w:val="000E4C06"/>
    <w:rsid w:val="00104779"/>
    <w:rsid w:val="0013422B"/>
    <w:rsid w:val="001436B4"/>
    <w:rsid w:val="00160206"/>
    <w:rsid w:val="001B2EB9"/>
    <w:rsid w:val="001B63A5"/>
    <w:rsid w:val="001D062A"/>
    <w:rsid w:val="001E2322"/>
    <w:rsid w:val="001F5B23"/>
    <w:rsid w:val="00233686"/>
    <w:rsid w:val="002341C0"/>
    <w:rsid w:val="002817C3"/>
    <w:rsid w:val="002C44FC"/>
    <w:rsid w:val="00307A21"/>
    <w:rsid w:val="0035233A"/>
    <w:rsid w:val="0036640A"/>
    <w:rsid w:val="003C4DDB"/>
    <w:rsid w:val="003D481C"/>
    <w:rsid w:val="003E39EB"/>
    <w:rsid w:val="003E45AA"/>
    <w:rsid w:val="003E6011"/>
    <w:rsid w:val="004106AC"/>
    <w:rsid w:val="004231C3"/>
    <w:rsid w:val="004319C8"/>
    <w:rsid w:val="00476B7D"/>
    <w:rsid w:val="004C6F59"/>
    <w:rsid w:val="0051554E"/>
    <w:rsid w:val="0054691E"/>
    <w:rsid w:val="00547449"/>
    <w:rsid w:val="005819D5"/>
    <w:rsid w:val="00581BFC"/>
    <w:rsid w:val="00591346"/>
    <w:rsid w:val="005A0461"/>
    <w:rsid w:val="005A5868"/>
    <w:rsid w:val="005C30A2"/>
    <w:rsid w:val="005F69AF"/>
    <w:rsid w:val="00601014"/>
    <w:rsid w:val="0063171F"/>
    <w:rsid w:val="006356FF"/>
    <w:rsid w:val="00642B31"/>
    <w:rsid w:val="006643EA"/>
    <w:rsid w:val="006A0B34"/>
    <w:rsid w:val="006B0ECD"/>
    <w:rsid w:val="006C40D7"/>
    <w:rsid w:val="006D5D67"/>
    <w:rsid w:val="007020E6"/>
    <w:rsid w:val="00703C23"/>
    <w:rsid w:val="0071088C"/>
    <w:rsid w:val="00712EAB"/>
    <w:rsid w:val="00735AF9"/>
    <w:rsid w:val="00774221"/>
    <w:rsid w:val="00826731"/>
    <w:rsid w:val="00843C7A"/>
    <w:rsid w:val="0085692C"/>
    <w:rsid w:val="00861E4E"/>
    <w:rsid w:val="00870B45"/>
    <w:rsid w:val="008E22A2"/>
    <w:rsid w:val="00934C6A"/>
    <w:rsid w:val="009718E3"/>
    <w:rsid w:val="009B7179"/>
    <w:rsid w:val="009D3F16"/>
    <w:rsid w:val="009D5217"/>
    <w:rsid w:val="009E4997"/>
    <w:rsid w:val="00A2336A"/>
    <w:rsid w:val="00A43CEE"/>
    <w:rsid w:val="00AF2434"/>
    <w:rsid w:val="00B0176F"/>
    <w:rsid w:val="00B1560B"/>
    <w:rsid w:val="00B35AF9"/>
    <w:rsid w:val="00B50FC1"/>
    <w:rsid w:val="00B739C4"/>
    <w:rsid w:val="00BA22BD"/>
    <w:rsid w:val="00BA4FE5"/>
    <w:rsid w:val="00BB255B"/>
    <w:rsid w:val="00BD0753"/>
    <w:rsid w:val="00C267E1"/>
    <w:rsid w:val="00C30826"/>
    <w:rsid w:val="00C31D16"/>
    <w:rsid w:val="00C61747"/>
    <w:rsid w:val="00C81DA6"/>
    <w:rsid w:val="00CD6A16"/>
    <w:rsid w:val="00D00C38"/>
    <w:rsid w:val="00D00E7E"/>
    <w:rsid w:val="00DA5D4E"/>
    <w:rsid w:val="00DA627E"/>
    <w:rsid w:val="00DC5FC8"/>
    <w:rsid w:val="00DD267E"/>
    <w:rsid w:val="00E02BC5"/>
    <w:rsid w:val="00E03859"/>
    <w:rsid w:val="00E06425"/>
    <w:rsid w:val="00E078E9"/>
    <w:rsid w:val="00E1144A"/>
    <w:rsid w:val="00E43E32"/>
    <w:rsid w:val="00E4504D"/>
    <w:rsid w:val="00E475EA"/>
    <w:rsid w:val="00E54828"/>
    <w:rsid w:val="00E64074"/>
    <w:rsid w:val="00E85C6B"/>
    <w:rsid w:val="00EB6EC9"/>
    <w:rsid w:val="00EE5ACD"/>
    <w:rsid w:val="00EF73A9"/>
    <w:rsid w:val="00EF7B7A"/>
    <w:rsid w:val="00F207AA"/>
    <w:rsid w:val="00F63857"/>
    <w:rsid w:val="00F77DB8"/>
    <w:rsid w:val="00F86333"/>
    <w:rsid w:val="00FA292D"/>
    <w:rsid w:val="00FA3879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2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E54828"/>
    <w:rPr>
      <w:b/>
      <w:bCs/>
    </w:rPr>
  </w:style>
  <w:style w:type="character" w:customStyle="1" w:styleId="apple-converted-space">
    <w:name w:val="apple-converted-space"/>
    <w:basedOn w:val="a0"/>
    <w:uiPriority w:val="99"/>
    <w:rsid w:val="00E54828"/>
  </w:style>
  <w:style w:type="paragraph" w:customStyle="1" w:styleId="ConsPlusTitle">
    <w:name w:val="ConsPlusTitle"/>
    <w:uiPriority w:val="99"/>
    <w:rsid w:val="003E39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2817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5A586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3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1920</Words>
  <Characters>10949</Characters>
  <Application>Microsoft Office Word</Application>
  <DocSecurity>0</DocSecurity>
  <Lines>91</Lines>
  <Paragraphs>25</Paragraphs>
  <ScaleCrop>false</ScaleCrop>
  <Company/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МЕДЯНСКОГО СЕЛЬСКОГО ПОСЕЛЕНИЯ</dc:title>
  <dc:subject/>
  <dc:creator>user</dc:creator>
  <cp:keywords/>
  <dc:description/>
  <cp:lastModifiedBy>Admin</cp:lastModifiedBy>
  <cp:revision>3</cp:revision>
  <dcterms:created xsi:type="dcterms:W3CDTF">2016-06-20T07:05:00Z</dcterms:created>
  <dcterms:modified xsi:type="dcterms:W3CDTF">2017-07-12T10:48:00Z</dcterms:modified>
</cp:coreProperties>
</file>